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12" w:rsidRPr="001D4712" w:rsidRDefault="001D4712" w:rsidP="001D471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D4712">
        <w:rPr>
          <w:b/>
          <w:sz w:val="32"/>
          <w:szCs w:val="32"/>
        </w:rPr>
        <w:t>Informace o rozsahu a účelu zpracovávaných osobních údajů (OÚ)</w:t>
      </w:r>
    </w:p>
    <w:p w:rsidR="002C36EF" w:rsidRPr="002C36EF" w:rsidRDefault="002C36EF" w:rsidP="002C36EF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Verze 1</w:t>
      </w:r>
    </w:p>
    <w:p w:rsidR="001D4712" w:rsidRPr="001D4712" w:rsidRDefault="001D4712" w:rsidP="001D4712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Správce OÚ: </w:t>
      </w:r>
      <w:r w:rsidR="00513D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Mateřská škola Česká Třebová, Vinohrady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</w:p>
    <w:p w:rsidR="001D4712" w:rsidRPr="001D4712" w:rsidRDefault="001D4712" w:rsidP="001D4712">
      <w:pPr>
        <w:spacing w:after="0"/>
      </w:pPr>
      <w:r w:rsidRPr="001D4712">
        <w:t xml:space="preserve">sídlo správce: </w:t>
      </w:r>
      <w:r w:rsidR="00513D6F">
        <w:t xml:space="preserve">Tylova 624, </w:t>
      </w:r>
      <w:proofErr w:type="gramStart"/>
      <w:r w:rsidR="00513D6F">
        <w:t>560 02  Česká</w:t>
      </w:r>
      <w:proofErr w:type="gramEnd"/>
      <w:r w:rsidR="00513D6F">
        <w:t xml:space="preserve"> Třebová</w:t>
      </w:r>
      <w:r w:rsidRPr="001D4712">
        <w:t xml:space="preserve">, 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>IČ:</w:t>
      </w:r>
      <w:r w:rsidR="00513D6F">
        <w:rPr>
          <w:rFonts w:ascii="Calibri" w:eastAsia="Times New Roman" w:hAnsi="Calibri" w:cs="Calibri"/>
          <w:sz w:val="24"/>
          <w:szCs w:val="24"/>
          <w:lang w:eastAsia="cs-CZ"/>
        </w:rPr>
        <w:t xml:space="preserve"> 709 82 295</w:t>
      </w:r>
    </w:p>
    <w:p w:rsidR="001D4712" w:rsidRPr="001D4712" w:rsidRDefault="001D4712" w:rsidP="001D4712">
      <w:pPr>
        <w:spacing w:after="0"/>
      </w:pPr>
      <w:r w:rsidRPr="001D4712">
        <w:t>telefon:</w:t>
      </w:r>
      <w:r w:rsidR="00513D6F">
        <w:t xml:space="preserve"> 465 531127</w:t>
      </w:r>
      <w:r w:rsidRPr="001D4712">
        <w:t xml:space="preserve">, e-mail: </w:t>
      </w:r>
      <w:r w:rsidR="00513D6F">
        <w:t>msvinohrady@ceska-trebova.cz</w:t>
      </w:r>
    </w:p>
    <w:p w:rsidR="001D4712" w:rsidRPr="001D4712" w:rsidRDefault="001D4712" w:rsidP="001D4712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Pověřenec pro OÚ: </w:t>
      </w:r>
      <w:r w:rsidR="00890DA4">
        <w:rPr>
          <w:rFonts w:ascii="Calibri" w:eastAsia="Times New Roman" w:hAnsi="Calibri" w:cs="Calibri"/>
          <w:sz w:val="24"/>
          <w:szCs w:val="24"/>
          <w:lang w:eastAsia="cs-CZ"/>
        </w:rPr>
        <w:t>Mgr. Karel Honl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1D4712">
        <w:t>e-mail: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hyperlink r:id="rId5" w:history="1">
        <w:r w:rsidR="00890DA4" w:rsidRPr="00890DA4">
          <w:rPr>
            <w:rStyle w:val="Hypertextovodkaz"/>
            <w:color w:val="auto"/>
            <w:szCs w:val="20"/>
            <w:u w:val="none"/>
          </w:rPr>
          <w:t>karel.honl@ceska-trebova.cz</w:t>
        </w:r>
      </w:hyperlink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, tel. </w:t>
      </w:r>
      <w:r w:rsidR="00890DA4">
        <w:rPr>
          <w:rFonts w:ascii="Calibri" w:eastAsia="Times New Roman" w:hAnsi="Calibri" w:cs="Calibri"/>
          <w:sz w:val="24"/>
          <w:szCs w:val="24"/>
          <w:lang w:eastAsia="cs-CZ"/>
        </w:rPr>
        <w:t>+420 603 574 633, kontaktní doba: úterý 12:00-15:00 hod.</w:t>
      </w:r>
    </w:p>
    <w:p w:rsidR="001D4712" w:rsidRDefault="001D4712" w:rsidP="002C36EF">
      <w:pPr>
        <w:tabs>
          <w:tab w:val="left" w:pos="3830"/>
          <w:tab w:val="left" w:pos="7950"/>
          <w:tab w:val="left" w:pos="12070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Osoba, jejíž </w:t>
      </w:r>
      <w:r w:rsidR="002B4E26">
        <w:rPr>
          <w:rFonts w:ascii="Calibri" w:eastAsia="Times New Roman" w:hAnsi="Calibri" w:cs="Calibri"/>
          <w:sz w:val="24"/>
          <w:szCs w:val="24"/>
          <w:lang w:eastAsia="cs-CZ"/>
        </w:rPr>
        <w:t>OÚ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jsou zpracovávány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může na rozsah a způsob zpracování podat stížnost u </w:t>
      </w:r>
      <w:r w:rsidR="00081D0B">
        <w:rPr>
          <w:rFonts w:ascii="Calibri" w:eastAsia="Times New Roman" w:hAnsi="Calibri" w:cs="Calibri"/>
          <w:sz w:val="24"/>
          <w:szCs w:val="24"/>
          <w:lang w:eastAsia="cs-CZ"/>
        </w:rPr>
        <w:t>dozorového úřadu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a má právo požadovat od správce údajů přístup ke svým osobním údajům, jejich opravu, výmaz anebo omezení zpracování. Dále má právo vznést námitku proti zpracování a právo na přenositelnost OÚ. Pokud jsou osobní údaje zpracovávány na základě souhlasu má  právo kdykoli souhlas odvolat. Informace o případném předávání osobních údajů do jiných států jsou uvedeny ve sloupci </w:t>
      </w:r>
      <w:r w:rsidR="002B4E26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>Příjemci OÚ</w:t>
      </w:r>
      <w:r w:rsidR="002B4E26">
        <w:rPr>
          <w:rFonts w:ascii="Calibri" w:eastAsia="Times New Roman" w:hAnsi="Calibri" w:cs="Calibri"/>
          <w:sz w:val="24"/>
          <w:szCs w:val="24"/>
          <w:lang w:eastAsia="cs-CZ"/>
        </w:rPr>
        <w:t>“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081D0B">
        <w:rPr>
          <w:rFonts w:ascii="Calibri" w:eastAsia="Times New Roman" w:hAnsi="Calibri" w:cs="Calibri"/>
          <w:sz w:val="24"/>
          <w:szCs w:val="24"/>
          <w:lang w:eastAsia="cs-CZ"/>
        </w:rPr>
        <w:t xml:space="preserve"> OÚ </w:t>
      </w:r>
      <w:r w:rsidR="00081D0B" w:rsidRPr="00081D0B">
        <w:rPr>
          <w:rFonts w:ascii="Calibri" w:eastAsia="Times New Roman" w:hAnsi="Calibri" w:cs="Calibri"/>
          <w:sz w:val="24"/>
          <w:szCs w:val="24"/>
          <w:lang w:eastAsia="cs-CZ"/>
        </w:rPr>
        <w:t>zveřejněné prostřednictvím i</w:t>
      </w:r>
      <w:r w:rsidR="00081D0B">
        <w:rPr>
          <w:rFonts w:ascii="Calibri" w:eastAsia="Times New Roman" w:hAnsi="Calibri" w:cs="Calibri"/>
          <w:sz w:val="24"/>
          <w:szCs w:val="24"/>
          <w:lang w:eastAsia="cs-CZ"/>
        </w:rPr>
        <w:t>nternetu (např. webové stránky s</w:t>
      </w:r>
      <w:r w:rsidR="00081D0B" w:rsidRPr="00081D0B">
        <w:rPr>
          <w:rFonts w:ascii="Calibri" w:eastAsia="Times New Roman" w:hAnsi="Calibri" w:cs="Calibri"/>
          <w:sz w:val="24"/>
          <w:szCs w:val="24"/>
          <w:lang w:eastAsia="cs-CZ"/>
        </w:rPr>
        <w:t xml:space="preserve">právce, sociální sítě atp.) jsou potenciálně přístupné ke zpracování osobami odlišnými od </w:t>
      </w:r>
      <w:r w:rsidR="00081D0B">
        <w:rPr>
          <w:rFonts w:ascii="Calibri" w:eastAsia="Times New Roman" w:hAnsi="Calibri" w:cs="Calibri"/>
          <w:sz w:val="24"/>
          <w:szCs w:val="24"/>
          <w:lang w:eastAsia="cs-CZ"/>
        </w:rPr>
        <w:t>správce i v třetích zemích.</w:t>
      </w:r>
    </w:p>
    <w:p w:rsidR="001D4712" w:rsidRDefault="001D4712" w:rsidP="002C36EF">
      <w:pPr>
        <w:tabs>
          <w:tab w:val="left" w:pos="3830"/>
          <w:tab w:val="left" w:pos="7950"/>
          <w:tab w:val="left" w:pos="12070"/>
        </w:tabs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>Uvedený správce osobních údajů zpracovává tyto osobní údaje:</w:t>
      </w: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977"/>
        <w:gridCol w:w="2835"/>
        <w:gridCol w:w="1701"/>
        <w:gridCol w:w="1559"/>
      </w:tblGrid>
      <w:tr w:rsidR="001D4712" w:rsidRPr="001D4712" w:rsidTr="001D4712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4712" w:rsidRPr="001D4712" w:rsidRDefault="001D4712" w:rsidP="001D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Název agendy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81D0B" w:rsidRDefault="00081D0B" w:rsidP="0008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Zákonnost zpracování</w:t>
            </w:r>
          </w:p>
          <w:p w:rsidR="00081D0B" w:rsidRPr="001D4712" w:rsidRDefault="00081D0B" w:rsidP="0008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890DA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highlight w:val="yellow"/>
                <w:lang w:eastAsia="cs-CZ"/>
              </w:rPr>
              <w:t>GDPR – čl. 6 odst. 1 písm.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4712" w:rsidRPr="001D4712" w:rsidRDefault="00081D0B" w:rsidP="002B4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0DA4" w:rsidRPr="001D4712" w:rsidRDefault="00081D0B" w:rsidP="001D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Rozsah zpracovávaných OÚ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4712" w:rsidRPr="001D4712" w:rsidRDefault="00081D0B" w:rsidP="001D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Příjemci OÚ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4712" w:rsidRPr="001D4712" w:rsidRDefault="00081D0B" w:rsidP="001D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eastAsia="cs-CZ"/>
              </w:rPr>
              <w:t>Doba zpracování</w:t>
            </w:r>
          </w:p>
        </w:tc>
      </w:tr>
      <w:tr w:rsidR="001D4712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D4712" w:rsidRPr="001D4712" w:rsidRDefault="00513D6F" w:rsidP="001D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Mzdová a personální agenda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D4712" w:rsidRPr="001D4712" w:rsidRDefault="001D4712" w:rsidP="001D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4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proofErr w:type="gramStart"/>
            <w:r w:rsidR="00513D6F">
              <w:rPr>
                <w:rFonts w:cstheme="minorHAnsi"/>
                <w:sz w:val="18"/>
                <w:szCs w:val="18"/>
              </w:rPr>
              <w:t>a,b,c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13D6F" w:rsidRDefault="00513D6F" w:rsidP="00513D6F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A27DC">
              <w:rPr>
                <w:rFonts w:cstheme="minorHAnsi"/>
                <w:sz w:val="18"/>
                <w:szCs w:val="18"/>
              </w:rPr>
              <w:t xml:space="preserve">Plnění </w:t>
            </w:r>
            <w:r w:rsidRPr="008A27DC">
              <w:rPr>
                <w:sz w:val="18"/>
                <w:szCs w:val="18"/>
              </w:rPr>
              <w:t xml:space="preserve">Zákona č. 262/2006 Sb., </w:t>
            </w:r>
            <w:r w:rsidRPr="008A27DC">
              <w:rPr>
                <w:bCs/>
                <w:sz w:val="18"/>
                <w:szCs w:val="18"/>
              </w:rPr>
              <w:t>zákoník</w:t>
            </w:r>
            <w:r w:rsidRPr="008A27DC">
              <w:rPr>
                <w:sz w:val="18"/>
                <w:szCs w:val="18"/>
              </w:rPr>
              <w:t xml:space="preserve"> </w:t>
            </w:r>
            <w:r w:rsidRPr="008A27DC">
              <w:rPr>
                <w:bCs/>
                <w:sz w:val="18"/>
                <w:szCs w:val="18"/>
              </w:rPr>
              <w:t>práce</w:t>
            </w:r>
          </w:p>
          <w:p w:rsidR="00513D6F" w:rsidRPr="0019367C" w:rsidRDefault="00513D6F" w:rsidP="00513D6F">
            <w:pPr>
              <w:rPr>
                <w:bCs/>
                <w:sz w:val="18"/>
                <w:szCs w:val="18"/>
              </w:rPr>
            </w:pPr>
            <w:r w:rsidRPr="0019367C">
              <w:rPr>
                <w:bCs/>
                <w:sz w:val="18"/>
                <w:szCs w:val="18"/>
              </w:rPr>
              <w:t>Zákon o ped</w:t>
            </w:r>
            <w:r w:rsidR="00DE6BA7">
              <w:rPr>
                <w:bCs/>
                <w:sz w:val="18"/>
                <w:szCs w:val="18"/>
              </w:rPr>
              <w:t>agogických</w:t>
            </w:r>
            <w:r w:rsidRPr="0019367C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19367C">
              <w:rPr>
                <w:bCs/>
                <w:sz w:val="18"/>
                <w:szCs w:val="18"/>
              </w:rPr>
              <w:t>pracovnících</w:t>
            </w:r>
            <w:proofErr w:type="gramEnd"/>
            <w:r w:rsidRPr="0019367C">
              <w:rPr>
                <w:bCs/>
                <w:sz w:val="18"/>
                <w:szCs w:val="18"/>
              </w:rPr>
              <w:t xml:space="preserve"> </w:t>
            </w:r>
          </w:p>
          <w:p w:rsidR="001D4712" w:rsidRPr="001D4712" w:rsidRDefault="00513D6F" w:rsidP="0051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367C">
              <w:rPr>
                <w:bCs/>
                <w:sz w:val="18"/>
                <w:szCs w:val="18"/>
              </w:rPr>
              <w:t>DVPP – personální spis zaměstnance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13D6F" w:rsidRDefault="001D4712" w:rsidP="00513D6F">
            <w:pPr>
              <w:rPr>
                <w:rFonts w:cstheme="minorHAnsi"/>
                <w:sz w:val="18"/>
                <w:szCs w:val="18"/>
              </w:rPr>
            </w:pPr>
            <w:r w:rsidRPr="001D4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513D6F">
              <w:rPr>
                <w:rFonts w:cstheme="minorHAnsi"/>
                <w:sz w:val="18"/>
                <w:szCs w:val="18"/>
              </w:rPr>
              <w:t xml:space="preserve">Ze zákona: Jméno, příjmení, adresa,  </w:t>
            </w:r>
          </w:p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datum narození, rodné číslo, </w:t>
            </w:r>
          </w:p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exekuce,</w:t>
            </w:r>
          </w:p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zdravotní pojišťovna, výpis z rejstříku trestů, vysvědčení</w:t>
            </w:r>
          </w:p>
          <w:p w:rsidR="00513D6F" w:rsidRDefault="00DE6BA7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513D6F">
              <w:rPr>
                <w:rFonts w:cstheme="minorHAnsi"/>
                <w:sz w:val="18"/>
                <w:szCs w:val="18"/>
              </w:rPr>
              <w:t>a základě souhlasu:</w:t>
            </w:r>
          </w:p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údaje o dětech a druhém rodiči dětí, č. účtu,</w:t>
            </w:r>
          </w:p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telefon, e-mail,</w:t>
            </w:r>
          </w:p>
          <w:p w:rsidR="001D4712" w:rsidRPr="001D4712" w:rsidRDefault="00513D6F" w:rsidP="0051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hypotéka, insolvence, dosažené vzdělání, praxe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D4712" w:rsidRPr="001D4712" w:rsidRDefault="00513D6F" w:rsidP="001D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Finanční úřad pro Pardubický kraj, Okresní správa soc. zabezpečení, ČŠI zdravotní pojišťovny a další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13D6F" w:rsidRDefault="001D4712" w:rsidP="00513D6F">
            <w:pPr>
              <w:rPr>
                <w:rFonts w:cstheme="minorHAnsi"/>
                <w:sz w:val="18"/>
                <w:szCs w:val="18"/>
              </w:rPr>
            </w:pPr>
            <w:r w:rsidRPr="001D4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513D6F">
              <w:rPr>
                <w:rFonts w:cstheme="minorHAnsi"/>
                <w:sz w:val="18"/>
                <w:szCs w:val="18"/>
              </w:rPr>
              <w:t xml:space="preserve">Spisový a skartační řád </w:t>
            </w:r>
          </w:p>
          <w:p w:rsidR="001D4712" w:rsidRPr="001D4712" w:rsidRDefault="00513D6F" w:rsidP="0051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F4 S/50</w:t>
            </w:r>
          </w:p>
        </w:tc>
      </w:tr>
      <w:tr w:rsidR="001D4712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3D6F" w:rsidRDefault="00513D6F" w:rsidP="00513D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Projekty a Šablony – personální podpora,</w:t>
            </w:r>
          </w:p>
          <w:p w:rsidR="001D4712" w:rsidRPr="001D4712" w:rsidRDefault="00513D6F" w:rsidP="0051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Další vzdělávání pedagogických pracovníků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D4712" w:rsidRPr="001D4712" w:rsidRDefault="00513D6F" w:rsidP="001D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a,b,c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Zprostředkování dotací a projektů,</w:t>
            </w:r>
          </w:p>
          <w:p w:rsidR="001D4712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15"/>
                <w:szCs w:val="15"/>
              </w:rPr>
              <w:t xml:space="preserve"> Zákon 250/2000 Sb.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Dokumentace: zaměstnanec – jméno, příjmení, datum narození, pracovní smlouva, osvědčení, dohody o provedení práce</w:t>
            </w:r>
          </w:p>
          <w:p w:rsidR="001D4712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dodavatelé: jméno, příjmení, č. účtu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D4712" w:rsidRPr="001D4712" w:rsidRDefault="00DE6BA7" w:rsidP="001D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MŠMT, orgány EU operační program Výzkum, vývoj a vzdělávání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C18.2. </w:t>
            </w:r>
          </w:p>
          <w:p w:rsidR="001D4712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15 let</w:t>
            </w:r>
          </w:p>
        </w:tc>
      </w:tr>
      <w:tr w:rsidR="0036300A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Pr="00BC5C77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Účetnictví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b, c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Zákon o účetnictví č.563//1991/Sb. faktury, pokladní kniha, cestovní příkaz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Údaje o dodavatelích (jméno, adresa, IČO, číslo účtu),</w:t>
            </w:r>
          </w:p>
          <w:p w:rsidR="0036300A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Údaje o zaměstnancích jméno, příjmení, bydliště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Orgán veřejné moci, subjekt údajů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36300A" w:rsidRPr="001D4712" w:rsidRDefault="0036300A" w:rsidP="0036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E7.1 S/10</w:t>
            </w:r>
          </w:p>
        </w:tc>
      </w:tr>
      <w:tr w:rsidR="0036300A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Matrika dětí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a,b,c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Školský zákon 561/2004 Sb., </w:t>
            </w: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Vyhláška č.14/2005 Sb.</w:t>
            </w: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předškolním vzdělávání</w:t>
            </w:r>
          </w:p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</w:p>
          <w:p w:rsidR="0036300A" w:rsidRDefault="0036300A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 w:rsidRPr="00C635EA">
              <w:rPr>
                <w:rFonts w:cstheme="minorHAnsi"/>
                <w:b/>
                <w:sz w:val="18"/>
                <w:szCs w:val="18"/>
              </w:rPr>
              <w:t>Dítě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B01CE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 zákona: jméno, příjmení, adresa, datum narození, rodné číslo, státní </w:t>
            </w:r>
            <w:proofErr w:type="gramStart"/>
            <w:r>
              <w:rPr>
                <w:rFonts w:cstheme="minorHAnsi"/>
                <w:sz w:val="18"/>
                <w:szCs w:val="18"/>
              </w:rPr>
              <w:t>občanství,  trvalé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bydliště, u cizinců povolení k pob</w:t>
            </w:r>
            <w:r w:rsidR="00C90601">
              <w:rPr>
                <w:rFonts w:cstheme="minorHAnsi"/>
                <w:sz w:val="18"/>
                <w:szCs w:val="18"/>
              </w:rPr>
              <w:t>ytu na území ČR,  údaje o zdravotním</w:t>
            </w:r>
            <w:r>
              <w:rPr>
                <w:rFonts w:cstheme="minorHAnsi"/>
                <w:sz w:val="18"/>
                <w:szCs w:val="18"/>
              </w:rPr>
              <w:t xml:space="preserve"> stavu , </w:t>
            </w:r>
            <w:r w:rsidRPr="00C635EA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údaje o očkování</w:t>
            </w:r>
          </w:p>
          <w:p w:rsidR="00FB01CE" w:rsidRP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pověření k vyzvedávání dětí, č. j. rozsudku o rodičovské odpovědnosti – nezbytné pro zajištění denního režimu dítěte v MŠ s ohledem na probíhající střídavou péči  </w:t>
            </w: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C635EA">
              <w:rPr>
                <w:rFonts w:cstheme="minorHAnsi"/>
                <w:b/>
                <w:sz w:val="18"/>
                <w:szCs w:val="18"/>
              </w:rPr>
              <w:t>odič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 zákona: jméno, příjmení, </w:t>
            </w:r>
            <w:proofErr w:type="gramStart"/>
            <w:r>
              <w:rPr>
                <w:rFonts w:cstheme="minorHAnsi"/>
                <w:sz w:val="18"/>
                <w:szCs w:val="18"/>
              </w:rPr>
              <w:t>adresa,  telefon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u cizinců povolení k pobytu na území ČR, pověření k vyzvedávání dětí, korespondence s OSPOD,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MěÚ</w:t>
            </w:r>
            <w:proofErr w:type="spellEnd"/>
            <w:r>
              <w:rPr>
                <w:rFonts w:cstheme="minorHAnsi"/>
                <w:sz w:val="18"/>
                <w:szCs w:val="18"/>
              </w:rPr>
              <w:t>, soud, PPP, SPC</w:t>
            </w:r>
          </w:p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základě souhlasu: telefon, </w:t>
            </w:r>
            <w:r w:rsidRPr="003F4952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audiovizuální záznam</w:t>
            </w:r>
          </w:p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 w:rsidRPr="00FB01CE">
              <w:rPr>
                <w:rFonts w:cstheme="minorHAnsi"/>
                <w:b/>
                <w:sz w:val="18"/>
                <w:szCs w:val="18"/>
              </w:rPr>
              <w:t>Třetí strana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korespondence s OSPOD,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MěÚ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soud, PPP, SPC, individuální vzdělávání – </w:t>
            </w:r>
            <w:proofErr w:type="gramStart"/>
            <w:r>
              <w:rPr>
                <w:rFonts w:cstheme="minorHAnsi"/>
                <w:sz w:val="18"/>
                <w:szCs w:val="18"/>
              </w:rPr>
              <w:t>přezkoušení,  Individuální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vzdělávací plány</w:t>
            </w:r>
          </w:p>
          <w:p w:rsidR="00FB01CE" w:rsidRPr="00FB01CE" w:rsidRDefault="00FB01CE" w:rsidP="0036300A">
            <w:pPr>
              <w:rPr>
                <w:rFonts w:cstheme="minorHAnsi"/>
                <w:b/>
                <w:sz w:val="18"/>
                <w:szCs w:val="18"/>
              </w:rPr>
            </w:pPr>
            <w:r w:rsidRPr="00FB01CE">
              <w:rPr>
                <w:rFonts w:cstheme="minorHAnsi"/>
                <w:b/>
                <w:sz w:val="18"/>
                <w:szCs w:val="18"/>
              </w:rPr>
              <w:t>Žádost o osvobození od úplaty za vzdělá</w:t>
            </w:r>
            <w:r>
              <w:rPr>
                <w:rFonts w:cstheme="minorHAnsi"/>
                <w:b/>
                <w:sz w:val="18"/>
                <w:szCs w:val="18"/>
              </w:rPr>
              <w:t>vá</w:t>
            </w:r>
            <w:r w:rsidRPr="00FB01CE">
              <w:rPr>
                <w:rFonts w:cstheme="minorHAnsi"/>
                <w:b/>
                <w:sz w:val="18"/>
                <w:szCs w:val="18"/>
              </w:rPr>
              <w:t>ní: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 zákona: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 w:rsidRPr="00864FAA">
              <w:rPr>
                <w:rFonts w:cstheme="minorHAnsi"/>
                <w:sz w:val="18"/>
                <w:szCs w:val="18"/>
              </w:rPr>
              <w:lastRenderedPageBreak/>
              <w:t>Jméno a příjmení, datum narození, místo trvalého pobytu, jméno a příjmení dítěte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MŠ subjekt údajů, rodiče, děti, příslušný </w:t>
            </w:r>
            <w:proofErr w:type="spellStart"/>
            <w:r>
              <w:rPr>
                <w:rFonts w:cstheme="minorHAnsi"/>
                <w:sz w:val="18"/>
                <w:szCs w:val="18"/>
              </w:rPr>
              <w:t>MěÚ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  <w:p w:rsidR="0036300A" w:rsidRDefault="0036300A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orgány veřejné moci a další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36300A" w:rsidRDefault="0036300A" w:rsidP="00FB01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300A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Prezentace školy a zachycení její historie (účast ve výtvarných a sportovních soutěžích)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FB0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a,b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Prezentace a zachycení školy je v rozumné míře v oprávněném zájmu školy, školní kronika, alba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 a příjmení, dítěte, věk,</w:t>
            </w:r>
          </w:p>
          <w:p w:rsidR="0036300A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Jméno a příjmení zaměstnanců a případných třetích osob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Veřejnost, audiovizuální záznamy dětí, rodičů, zaměstnanců a návštěvníků akcí pořádaných a spolupořádaných MŠ nebo kterých se MŠ zúčastnila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36300A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G5 S/3</w:t>
            </w:r>
          </w:p>
        </w:tc>
      </w:tr>
      <w:tr w:rsidR="0036300A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Stravování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FB01CE" w:rsidP="00FB0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b,c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Vyhl</w:t>
            </w:r>
            <w:proofErr w:type="spellEnd"/>
            <w:r>
              <w:rPr>
                <w:rFonts w:cstheme="minorHAnsi"/>
                <w:sz w:val="18"/>
                <w:szCs w:val="18"/>
              </w:rPr>
              <w:t>. 107/2005 o školním stravování,</w:t>
            </w:r>
          </w:p>
          <w:p w:rsidR="0036300A" w:rsidRDefault="00FB01CE" w:rsidP="00FB0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Vyhl</w:t>
            </w:r>
            <w:proofErr w:type="spellEnd"/>
            <w:r>
              <w:rPr>
                <w:rFonts w:cstheme="minorHAnsi"/>
                <w:sz w:val="18"/>
                <w:szCs w:val="18"/>
              </w:rPr>
              <w:t>. č. 14/2005 Sb.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 zákona: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 dítěte, datum narození, zpráva od lékaře – alergie,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údaje zákonných zástupců: Jméno, příjmení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 a příjmení zaměstnance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základě </w:t>
            </w:r>
            <w:proofErr w:type="gramStart"/>
            <w:r>
              <w:rPr>
                <w:rFonts w:cstheme="minorHAnsi"/>
                <w:sz w:val="18"/>
                <w:szCs w:val="18"/>
              </w:rPr>
              <w:t>souhlasu :</w:t>
            </w:r>
            <w:proofErr w:type="gramEnd"/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účtu, e-mail, telefon rodičů a zaměstnanců</w:t>
            </w:r>
          </w:p>
          <w:p w:rsidR="0036300A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údaje o dodavatelích (jméno, adresa, IČO, číslo účtu)na základě smluvního vztahu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300A" w:rsidRDefault="0036300A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36300A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G5 S/3</w:t>
            </w:r>
          </w:p>
        </w:tc>
      </w:tr>
      <w:tr w:rsidR="00FB01CE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Registr smluv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363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340/2015 Sb.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Údaje o dodavatelích – fakturační údaje, smlouvy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EZAK Česká Třebová,</w:t>
            </w:r>
          </w:p>
          <w:p w:rsidR="00FB01CE" w:rsidRDefault="00FB01CE" w:rsidP="00FB01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Smluvní strany veřejnost</w:t>
            </w:r>
          </w:p>
          <w:p w:rsidR="00FB01CE" w:rsidRDefault="00FB01CE" w:rsidP="00FB0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Listinné, Word, Excel, e-mail, EZOP, DS, webové stránky, pošta, telefonicky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01CE" w:rsidRDefault="00FB01CE" w:rsidP="003630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C7.2 S/5</w:t>
            </w:r>
          </w:p>
        </w:tc>
      </w:tr>
      <w:tr w:rsidR="000A7C87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Základní dokumenty školy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č.250/2000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Zřizovací listina – údaje o škole, rejstřík škol – údaje o ředitelce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(jméno, příjmení, datum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narození,  bydliště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), obchodní rejstřík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0A7C87" w:rsidRPr="007B6CFF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 A/10</w:t>
            </w:r>
          </w:p>
        </w:tc>
      </w:tr>
      <w:tr w:rsidR="000A7C87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BOZP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Lékařské prohlídky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b,c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Vyhl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č. 364/2005 Sb. O vedení dokumentace škol a školní matriky a předávání údajů, Zák. č. 561/2004 Sb. 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Vyhl</w:t>
            </w:r>
            <w:proofErr w:type="spellEnd"/>
            <w:r>
              <w:rPr>
                <w:rFonts w:cstheme="minorHAnsi"/>
                <w:sz w:val="18"/>
                <w:szCs w:val="18"/>
              </w:rPr>
              <w:t>. č. 64/2005 Sb.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Občanský zákoník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Zákoník práce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č.262/2006Sb</w:t>
            </w:r>
          </w:p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úrazů, vstupní a preventivní lékařské prohlídky zaměstnanců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 zákona: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Dítě: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datum narození, adresa trvalého bydliště, údaje o zdravotním stavu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Zákonný zástupce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jméno a </w:t>
            </w:r>
            <w:proofErr w:type="gramStart"/>
            <w:r>
              <w:rPr>
                <w:rFonts w:cstheme="minorHAnsi"/>
                <w:sz w:val="18"/>
                <w:szCs w:val="18"/>
              </w:rPr>
              <w:t>příjme</w:t>
            </w:r>
            <w:r w:rsidR="00C90601">
              <w:rPr>
                <w:rFonts w:cstheme="minorHAnsi"/>
                <w:sz w:val="18"/>
                <w:szCs w:val="18"/>
              </w:rPr>
              <w:t>ní ,bydliště</w:t>
            </w:r>
            <w:proofErr w:type="gramEnd"/>
            <w:r w:rsidR="00C90601">
              <w:rPr>
                <w:rFonts w:cstheme="minorHAnsi"/>
                <w:sz w:val="18"/>
                <w:szCs w:val="18"/>
              </w:rPr>
              <w:t xml:space="preserve"> zákonného zástupce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Zaměstnanec: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datum narození, adresa trvalého bydliště, údaje o zdravotním stavu, zdravotní pojišťovna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Veřejnost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Subjekt údajů, inspektorát práce,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pojišťovna, ČŠI, webové rozhraní 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pojišťovací makléř</w:t>
            </w:r>
          </w:p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,příslušné orgány veřejné moci a další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A5.2 S/10</w:t>
            </w:r>
          </w:p>
        </w:tc>
      </w:tr>
      <w:tr w:rsidR="000A7C87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Kamerový systém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Oprávněný zájem na zajištění bezpečnosti osob a ochrany majetku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Ochrana budovy a vizuální kontrola vstupujících osob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Nenahrává se, obrazovka ve třídách, kancelářích, kuchyni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7C87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Spisová služba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Předpis č.499/2004Sb Zákon o archivnictví a spisové službě a o změně některých zákonů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adresa odesílatelů a příjemců pošty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Dle spisového, skartačního řádu</w:t>
            </w:r>
          </w:p>
        </w:tc>
      </w:tr>
      <w:tr w:rsidR="000A7C87" w:rsidRPr="001D4712" w:rsidTr="001D4712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Žádosti o zaměstnání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C90601">
              <w:rPr>
                <w:rFonts w:cstheme="minorHAnsi"/>
                <w:sz w:val="18"/>
                <w:szCs w:val="18"/>
              </w:rPr>
              <w:t xml:space="preserve">méno, příjmení, datum narození, </w:t>
            </w:r>
            <w:r>
              <w:rPr>
                <w:rFonts w:cstheme="minorHAnsi"/>
                <w:sz w:val="18"/>
                <w:szCs w:val="18"/>
              </w:rPr>
              <w:t>dosažené vzdělání fotografie,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  <w:p w:rsidR="000A7C87" w:rsidRDefault="000A7C87" w:rsidP="000A7C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F3.13 S/5</w:t>
            </w:r>
          </w:p>
        </w:tc>
      </w:tr>
    </w:tbl>
    <w:p w:rsidR="001D4712" w:rsidRDefault="001D4712" w:rsidP="001D4712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1D4712" w:rsidSect="001D4712">
      <w:pgSz w:w="16838" w:h="11906" w:orient="landscape"/>
      <w:pgMar w:top="993" w:right="962" w:bottom="7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F61"/>
    <w:multiLevelType w:val="hybridMultilevel"/>
    <w:tmpl w:val="85C8BA0E"/>
    <w:lvl w:ilvl="0" w:tplc="FD78A62C">
      <w:start w:val="1"/>
      <w:numFmt w:val="decimal"/>
      <w:pStyle w:val="Odstavecseseznamem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8"/>
    <w:rsid w:val="00081D0B"/>
    <w:rsid w:val="000961BB"/>
    <w:rsid w:val="000A7C87"/>
    <w:rsid w:val="001D4712"/>
    <w:rsid w:val="002B4E26"/>
    <w:rsid w:val="002C36EF"/>
    <w:rsid w:val="002D0A8B"/>
    <w:rsid w:val="0036149F"/>
    <w:rsid w:val="0036300A"/>
    <w:rsid w:val="00503863"/>
    <w:rsid w:val="00513D6F"/>
    <w:rsid w:val="00890DA4"/>
    <w:rsid w:val="00C90601"/>
    <w:rsid w:val="00D84CC8"/>
    <w:rsid w:val="00DE6BA7"/>
    <w:rsid w:val="00E06BFA"/>
    <w:rsid w:val="00E60110"/>
    <w:rsid w:val="00F3541F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3B2C-1A98-4196-9D1B-DE2FF59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4712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C36EF"/>
    <w:rPr>
      <w:rFonts w:ascii="Calibri" w:hAnsi="Calibri" w:cstheme="minorHAnsi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C36EF"/>
    <w:pPr>
      <w:numPr>
        <w:numId w:val="1"/>
      </w:numPr>
      <w:spacing w:after="120" w:line="240" w:lineRule="auto"/>
      <w:jc w:val="both"/>
    </w:pPr>
    <w:rPr>
      <w:rFonts w:ascii="Calibri" w:hAnsi="Calibri" w:cstheme="minorHAnsi"/>
      <w:szCs w:val="24"/>
    </w:rPr>
  </w:style>
  <w:style w:type="paragraph" w:styleId="Normlnweb">
    <w:name w:val="Normal (Web)"/>
    <w:basedOn w:val="Normln"/>
    <w:uiPriority w:val="99"/>
    <w:semiHidden/>
    <w:unhideWhenUsed/>
    <w:rsid w:val="002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l.honl@ceska-treb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Novotný</dc:creator>
  <cp:keywords/>
  <dc:description/>
  <cp:lastModifiedBy>Mateřská škola Vinohrady</cp:lastModifiedBy>
  <cp:revision>5</cp:revision>
  <dcterms:created xsi:type="dcterms:W3CDTF">2018-05-21T12:26:00Z</dcterms:created>
  <dcterms:modified xsi:type="dcterms:W3CDTF">2018-05-23T07:18:00Z</dcterms:modified>
</cp:coreProperties>
</file>